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93" w:rsidRDefault="00085293" w:rsidP="00085293">
      <w:pPr>
        <w:rPr>
          <w:b/>
          <w:sz w:val="28"/>
          <w:szCs w:val="28"/>
        </w:rPr>
      </w:pPr>
      <w:r>
        <w:rPr>
          <w:b/>
          <w:noProof/>
          <w:sz w:val="28"/>
          <w:szCs w:val="28"/>
        </w:rPr>
        <w:drawing>
          <wp:inline distT="0" distB="0" distL="0" distR="0" wp14:anchorId="0F8BCCEC">
            <wp:extent cx="2475230" cy="74993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5230" cy="749935"/>
                    </a:xfrm>
                    <a:prstGeom prst="rect">
                      <a:avLst/>
                    </a:prstGeom>
                    <a:noFill/>
                  </pic:spPr>
                </pic:pic>
              </a:graphicData>
            </a:graphic>
          </wp:inline>
        </w:drawing>
      </w:r>
    </w:p>
    <w:p w:rsidR="00085293" w:rsidRDefault="00085293" w:rsidP="00085293">
      <w:pPr>
        <w:jc w:val="center"/>
        <w:rPr>
          <w:b/>
          <w:sz w:val="28"/>
          <w:szCs w:val="28"/>
        </w:rPr>
      </w:pPr>
    </w:p>
    <w:p w:rsidR="00085293" w:rsidRDefault="00085293" w:rsidP="00085293">
      <w:pPr>
        <w:jc w:val="center"/>
        <w:rPr>
          <w:b/>
          <w:sz w:val="28"/>
          <w:szCs w:val="28"/>
        </w:rPr>
      </w:pPr>
    </w:p>
    <w:p w:rsidR="00085293" w:rsidRPr="00085293" w:rsidRDefault="00085293" w:rsidP="00085293">
      <w:pPr>
        <w:jc w:val="center"/>
        <w:rPr>
          <w:b/>
          <w:sz w:val="28"/>
          <w:szCs w:val="28"/>
        </w:rPr>
      </w:pPr>
      <w:bookmarkStart w:id="0" w:name="_GoBack"/>
      <w:r w:rsidRPr="00085293">
        <w:rPr>
          <w:b/>
          <w:sz w:val="28"/>
          <w:szCs w:val="28"/>
        </w:rPr>
        <w:t>О правилах «гаражной амнистии»</w:t>
      </w:r>
      <w:r>
        <w:rPr>
          <w:b/>
          <w:sz w:val="28"/>
          <w:szCs w:val="28"/>
        </w:rPr>
        <w:t>.</w:t>
      </w:r>
    </w:p>
    <w:p w:rsidR="00085293" w:rsidRPr="00085293" w:rsidRDefault="00085293" w:rsidP="00085293">
      <w:pPr>
        <w:rPr>
          <w:sz w:val="28"/>
          <w:szCs w:val="28"/>
        </w:rPr>
      </w:pPr>
    </w:p>
    <w:p w:rsidR="00085293" w:rsidRPr="00085293" w:rsidRDefault="00085293" w:rsidP="00085293">
      <w:pPr>
        <w:jc w:val="both"/>
        <w:rPr>
          <w:rFonts w:cs="Times New Roman"/>
          <w:sz w:val="28"/>
          <w:szCs w:val="28"/>
        </w:rPr>
      </w:pPr>
      <w:r w:rsidRPr="00085293">
        <w:rPr>
          <w:rFonts w:cs="Times New Roman"/>
          <w:sz w:val="28"/>
          <w:szCs w:val="28"/>
        </w:rPr>
        <w:t xml:space="preserve">          </w:t>
      </w:r>
      <w:r w:rsidRPr="00085293">
        <w:rPr>
          <w:rFonts w:cs="Times New Roman"/>
          <w:sz w:val="28"/>
          <w:szCs w:val="28"/>
        </w:rPr>
        <w:t xml:space="preserve">Тальменский отдел Управления Федеральной службы государственной регистрации, кадастра и картографии по Алтайскому краю </w:t>
      </w:r>
      <w:r>
        <w:rPr>
          <w:rFonts w:cs="Times New Roman"/>
          <w:sz w:val="28"/>
          <w:szCs w:val="28"/>
        </w:rPr>
        <w:t>информирует.</w:t>
      </w:r>
    </w:p>
    <w:p w:rsidR="00085293" w:rsidRPr="00085293" w:rsidRDefault="00085293" w:rsidP="00085293">
      <w:pPr>
        <w:jc w:val="both"/>
        <w:rPr>
          <w:rFonts w:cs="Times New Roman"/>
          <w:sz w:val="28"/>
          <w:szCs w:val="28"/>
        </w:rPr>
      </w:pPr>
      <w:r w:rsidRPr="00085293">
        <w:rPr>
          <w:rFonts w:cs="Times New Roman"/>
          <w:sz w:val="28"/>
          <w:szCs w:val="28"/>
        </w:rPr>
        <w:t xml:space="preserve">          Правила «гаражной амнистии» установлены ст. 3.7 Федерального закона от 25.10.2001 № 137-ФЗ «О введении в действие Земельного кодекса Российской Федерации». «Гаражная амнистия» действует до 1 сентября 2026 года.</w:t>
      </w:r>
    </w:p>
    <w:p w:rsidR="00085293" w:rsidRPr="00085293" w:rsidRDefault="00085293" w:rsidP="00085293">
      <w:pPr>
        <w:jc w:val="both"/>
        <w:rPr>
          <w:rFonts w:cs="Times New Roman"/>
          <w:sz w:val="28"/>
          <w:szCs w:val="28"/>
        </w:rPr>
      </w:pPr>
      <w:r w:rsidRPr="00085293">
        <w:rPr>
          <w:rFonts w:cs="Times New Roman"/>
          <w:sz w:val="28"/>
          <w:szCs w:val="28"/>
        </w:rPr>
        <w:t xml:space="preserve">          </w:t>
      </w:r>
      <w:proofErr w:type="gramStart"/>
      <w:r w:rsidRPr="00085293">
        <w:rPr>
          <w:rFonts w:cs="Times New Roman"/>
          <w:sz w:val="28"/>
          <w:szCs w:val="28"/>
        </w:rPr>
        <w:t>Под амнистию подпадают гаражи, являющиеся объектами капитального строительства, не признанные самовольной постройкой, подлежащ</w:t>
      </w:r>
      <w:r>
        <w:rPr>
          <w:rFonts w:cs="Times New Roman"/>
          <w:sz w:val="28"/>
          <w:szCs w:val="28"/>
        </w:rPr>
        <w:t>ие</w:t>
      </w:r>
      <w:r w:rsidRPr="00085293">
        <w:rPr>
          <w:rFonts w:cs="Times New Roman"/>
          <w:sz w:val="28"/>
          <w:szCs w:val="28"/>
        </w:rPr>
        <w:t xml:space="preserve"> сносу, и возведенные до дня введения в действие Градостроительного кодекса Российской Федерации (30.12.2004) в случае, когда (п. 2 ст. 3.7 Закона № 137-ФЗ):</w:t>
      </w:r>
      <w:proofErr w:type="gramEnd"/>
    </w:p>
    <w:p w:rsidR="00085293" w:rsidRPr="00085293" w:rsidRDefault="00085293" w:rsidP="00085293">
      <w:pPr>
        <w:jc w:val="both"/>
        <w:rPr>
          <w:rFonts w:cs="Times New Roman"/>
          <w:sz w:val="28"/>
          <w:szCs w:val="28"/>
        </w:rPr>
      </w:pPr>
      <w:r w:rsidRPr="00085293">
        <w:rPr>
          <w:rFonts w:cs="Times New Roman"/>
          <w:sz w:val="28"/>
          <w:szCs w:val="28"/>
        </w:rPr>
        <w:t>1) земельный участок для размещения гаража был предоставлен гражданину или передан ему какой-либо организацией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ст. 3.7 Закона № 137-ФЗ;</w:t>
      </w:r>
    </w:p>
    <w:p w:rsidR="00085293" w:rsidRPr="00085293" w:rsidRDefault="00085293" w:rsidP="00085293">
      <w:pPr>
        <w:jc w:val="both"/>
        <w:rPr>
          <w:rFonts w:cs="Times New Roman"/>
          <w:sz w:val="28"/>
          <w:szCs w:val="28"/>
        </w:rPr>
      </w:pPr>
      <w:proofErr w:type="gramStart"/>
      <w:r w:rsidRPr="00085293">
        <w:rPr>
          <w:rFonts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 3.7 Закона № 137-ФЗ) и гараж и (или) земельный участок, на котором он расположен</w:t>
      </w:r>
      <w:proofErr w:type="gramEnd"/>
      <w:r w:rsidRPr="00085293">
        <w:rPr>
          <w:rFonts w:cs="Times New Roman"/>
          <w:sz w:val="28"/>
          <w:szCs w:val="28"/>
        </w:rPr>
        <w:t>,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85293" w:rsidRPr="00085293" w:rsidRDefault="00085293" w:rsidP="00085293">
      <w:pPr>
        <w:jc w:val="both"/>
        <w:rPr>
          <w:rFonts w:cs="Times New Roman"/>
          <w:sz w:val="28"/>
          <w:szCs w:val="28"/>
        </w:rPr>
      </w:pPr>
      <w:r w:rsidRPr="00085293">
        <w:rPr>
          <w:rFonts w:cs="Times New Roman"/>
          <w:sz w:val="28"/>
          <w:szCs w:val="28"/>
        </w:rPr>
        <w:t xml:space="preserve">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 (п. 2 ст. 3.7 Закона № 137-ФЗ). </w:t>
      </w:r>
    </w:p>
    <w:p w:rsidR="00085293" w:rsidRPr="00085293" w:rsidRDefault="00085293" w:rsidP="00085293">
      <w:pPr>
        <w:jc w:val="both"/>
        <w:rPr>
          <w:rFonts w:cs="Times New Roman"/>
          <w:sz w:val="28"/>
          <w:szCs w:val="28"/>
        </w:rPr>
      </w:pPr>
      <w:r w:rsidRPr="00085293">
        <w:rPr>
          <w:rFonts w:cs="Times New Roman"/>
          <w:sz w:val="28"/>
          <w:szCs w:val="28"/>
        </w:rPr>
        <w:t xml:space="preserve">          «Гаражная амнистия» распространяется также на граждан, прекративших членство в гаражном кооперативе, в том числе вследствие его ликвидации или исключения из ЕГРЮЛ  в связи с прекращением деятельности юридического лица.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ЕГРЮЛ в связи с прекращением деятельности юридического лица. При этом, в принятии решения о предварительном согласовании предоставления земельного участка или о предоставлении земельного участка, при отсутствии иных оснований, не может быть отказано только на основании отсутствия в ЕГРЮЛ сведений о гаражном кооперативе (ч. 7 ст. 3.7 Закона № 137-ФЗ).</w:t>
      </w:r>
    </w:p>
    <w:p w:rsidR="00085293" w:rsidRPr="00085293" w:rsidRDefault="00085293" w:rsidP="00085293">
      <w:pPr>
        <w:jc w:val="both"/>
        <w:rPr>
          <w:rFonts w:cs="Times New Roman"/>
          <w:sz w:val="28"/>
          <w:szCs w:val="28"/>
        </w:rPr>
      </w:pPr>
      <w:r w:rsidRPr="00085293">
        <w:rPr>
          <w:rFonts w:cs="Times New Roman"/>
          <w:sz w:val="28"/>
          <w:szCs w:val="28"/>
        </w:rPr>
        <w:lastRenderedPageBreak/>
        <w:t xml:space="preserve">          Оформить гараж в собственность и земельный участок под ним позволят следующие документы (</w:t>
      </w:r>
      <w:proofErr w:type="spellStart"/>
      <w:r w:rsidRPr="00085293">
        <w:rPr>
          <w:rFonts w:cs="Times New Roman"/>
          <w:sz w:val="28"/>
          <w:szCs w:val="28"/>
        </w:rPr>
        <w:t>п.п</w:t>
      </w:r>
      <w:proofErr w:type="spellEnd"/>
      <w:r w:rsidRPr="00085293">
        <w:rPr>
          <w:rFonts w:cs="Times New Roman"/>
          <w:sz w:val="28"/>
          <w:szCs w:val="28"/>
        </w:rPr>
        <w:t>. 2, 5, 6, 15, 16 ст. 3.7 Закона № 137-ФЗ):</w:t>
      </w:r>
    </w:p>
    <w:p w:rsidR="00085293" w:rsidRPr="00085293" w:rsidRDefault="00085293" w:rsidP="00085293">
      <w:pPr>
        <w:jc w:val="both"/>
        <w:rPr>
          <w:rFonts w:cs="Times New Roman"/>
          <w:sz w:val="28"/>
          <w:szCs w:val="28"/>
        </w:rPr>
      </w:pPr>
      <w:r w:rsidRPr="00085293">
        <w:rPr>
          <w:rFonts w:cs="Times New Roman"/>
          <w:sz w:val="28"/>
          <w:szCs w:val="28"/>
        </w:rPr>
        <w:t>- любое решение органа власти, подтверждающее предоставление земельного участка под гаражом;</w:t>
      </w:r>
    </w:p>
    <w:p w:rsidR="00085293" w:rsidRPr="00085293" w:rsidRDefault="00085293" w:rsidP="00085293">
      <w:pPr>
        <w:jc w:val="both"/>
        <w:rPr>
          <w:rFonts w:cs="Times New Roman"/>
          <w:sz w:val="28"/>
          <w:szCs w:val="28"/>
        </w:rPr>
      </w:pPr>
      <w:r w:rsidRPr="00085293">
        <w:rPr>
          <w:rFonts w:cs="Times New Roman"/>
          <w:sz w:val="28"/>
          <w:szCs w:val="28"/>
        </w:rPr>
        <w:t>- любое решение предприятия, при котором построен гараж, в связи с созданием гаража (выделение земельного участка под гараж);</w:t>
      </w:r>
    </w:p>
    <w:p w:rsidR="00085293" w:rsidRPr="00085293" w:rsidRDefault="00085293" w:rsidP="00085293">
      <w:pPr>
        <w:jc w:val="both"/>
        <w:rPr>
          <w:rFonts w:cs="Times New Roman"/>
          <w:sz w:val="28"/>
          <w:szCs w:val="28"/>
        </w:rPr>
      </w:pPr>
      <w:r w:rsidRPr="00085293">
        <w:rPr>
          <w:rFonts w:cs="Times New Roman"/>
          <w:sz w:val="28"/>
          <w:szCs w:val="28"/>
        </w:rPr>
        <w:t>- справка или иной документ, подтверждающий выплату пая в гаражном кооперативе;</w:t>
      </w:r>
    </w:p>
    <w:p w:rsidR="00085293" w:rsidRPr="00085293" w:rsidRDefault="00085293" w:rsidP="00085293">
      <w:pPr>
        <w:jc w:val="both"/>
        <w:rPr>
          <w:rFonts w:cs="Times New Roman"/>
          <w:sz w:val="28"/>
          <w:szCs w:val="28"/>
        </w:rPr>
      </w:pPr>
      <w:r w:rsidRPr="00085293">
        <w:rPr>
          <w:rFonts w:cs="Times New Roman"/>
          <w:sz w:val="28"/>
          <w:szCs w:val="28"/>
        </w:rPr>
        <w:t>- решение общего собрания гаражного кооператива, подтверждающее распределение гаража;</w:t>
      </w:r>
    </w:p>
    <w:p w:rsidR="00085293" w:rsidRPr="00085293" w:rsidRDefault="00085293" w:rsidP="00085293">
      <w:pPr>
        <w:jc w:val="both"/>
        <w:rPr>
          <w:rFonts w:cs="Times New Roman"/>
          <w:sz w:val="28"/>
          <w:szCs w:val="28"/>
        </w:rPr>
      </w:pPr>
      <w:r w:rsidRPr="00085293">
        <w:rPr>
          <w:rFonts w:cs="Times New Roman"/>
          <w:sz w:val="28"/>
          <w:szCs w:val="28"/>
        </w:rPr>
        <w:t>- старый технический паспорт (до 01.01.2013) на гараж;</w:t>
      </w:r>
    </w:p>
    <w:p w:rsidR="00085293" w:rsidRPr="00085293" w:rsidRDefault="00085293" w:rsidP="00085293">
      <w:pPr>
        <w:jc w:val="both"/>
        <w:rPr>
          <w:rFonts w:cs="Times New Roman"/>
          <w:sz w:val="28"/>
          <w:szCs w:val="28"/>
        </w:rPr>
      </w:pPr>
      <w:r w:rsidRPr="00085293">
        <w:rPr>
          <w:rFonts w:cs="Times New Roman"/>
          <w:sz w:val="28"/>
          <w:szCs w:val="28"/>
        </w:rPr>
        <w:t>- документы о подключении гаража к электрическим сетям инженерного обеспечения, документы об оплате коммунальных услуг ранее 30.12.2004;</w:t>
      </w:r>
    </w:p>
    <w:p w:rsidR="00085293" w:rsidRPr="00085293" w:rsidRDefault="00085293" w:rsidP="00085293">
      <w:pPr>
        <w:jc w:val="both"/>
        <w:rPr>
          <w:rFonts w:cs="Times New Roman"/>
          <w:sz w:val="28"/>
          <w:szCs w:val="28"/>
        </w:rPr>
      </w:pPr>
      <w:r w:rsidRPr="00085293">
        <w:rPr>
          <w:rFonts w:cs="Times New Roman"/>
          <w:sz w:val="28"/>
          <w:szCs w:val="28"/>
        </w:rPr>
        <w:t>- документы наследодателя и документы о наследстве (если гараж принадлежал наследодателю);</w:t>
      </w:r>
    </w:p>
    <w:p w:rsidR="00085293" w:rsidRPr="00085293" w:rsidRDefault="00085293" w:rsidP="00085293">
      <w:pPr>
        <w:jc w:val="both"/>
        <w:rPr>
          <w:rFonts w:cs="Times New Roman"/>
          <w:sz w:val="28"/>
          <w:szCs w:val="28"/>
        </w:rPr>
      </w:pPr>
      <w:r w:rsidRPr="00085293">
        <w:rPr>
          <w:rFonts w:cs="Times New Roman"/>
          <w:sz w:val="28"/>
          <w:szCs w:val="28"/>
        </w:rPr>
        <w:t>- документы, подтверждающие приобретение гаража у другого лица.</w:t>
      </w:r>
    </w:p>
    <w:p w:rsidR="00085293" w:rsidRDefault="00085293" w:rsidP="00085293">
      <w:pPr>
        <w:jc w:val="both"/>
        <w:rPr>
          <w:rFonts w:cs="Times New Roman"/>
          <w:sz w:val="28"/>
          <w:szCs w:val="28"/>
        </w:rPr>
      </w:pPr>
      <w:r w:rsidRPr="00085293">
        <w:rPr>
          <w:rFonts w:cs="Times New Roman"/>
          <w:sz w:val="28"/>
          <w:szCs w:val="28"/>
        </w:rPr>
        <w:t xml:space="preserve">          </w:t>
      </w:r>
      <w:proofErr w:type="gramStart"/>
      <w:r w:rsidRPr="00085293">
        <w:rPr>
          <w:rFonts w:cs="Times New Roman"/>
          <w:sz w:val="28"/>
          <w:szCs w:val="28"/>
        </w:rPr>
        <w:t>Также гражданин вправе в порядке, предусмотренном ст. 3.7 Закона № 137-ФЗ,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(30.12.2004), в случае, если такой земельный участок образован из земельного участка, ранее предоставленного на праве постоянного (бессрочного) пользования</w:t>
      </w:r>
      <w:proofErr w:type="gramEnd"/>
      <w:r w:rsidRPr="00085293">
        <w:rPr>
          <w:rFonts w:cs="Times New Roman"/>
          <w:sz w:val="28"/>
          <w:szCs w:val="28"/>
        </w:rPr>
        <w:t xml:space="preserve"> </w:t>
      </w:r>
      <w:proofErr w:type="gramStart"/>
      <w:r w:rsidRPr="00085293">
        <w:rPr>
          <w:rFonts w:cs="Times New Roman"/>
          <w:sz w:val="28"/>
          <w:szCs w:val="28"/>
        </w:rPr>
        <w:t>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 (п. 14</w:t>
      </w:r>
      <w:proofErr w:type="gramEnd"/>
      <w:r w:rsidRPr="00085293">
        <w:rPr>
          <w:rFonts w:cs="Times New Roman"/>
          <w:sz w:val="28"/>
          <w:szCs w:val="28"/>
        </w:rPr>
        <w:t xml:space="preserve"> ст. 3.7 Закона № 137-ФЗ).</w:t>
      </w:r>
    </w:p>
    <w:p w:rsidR="00085293" w:rsidRDefault="00085293" w:rsidP="00085293">
      <w:pPr>
        <w:jc w:val="both"/>
        <w:rPr>
          <w:rFonts w:cs="Times New Roman"/>
          <w:sz w:val="28"/>
          <w:szCs w:val="28"/>
        </w:rPr>
      </w:pPr>
    </w:p>
    <w:p w:rsidR="00085293" w:rsidRPr="00085293" w:rsidRDefault="00085293" w:rsidP="00085293">
      <w:pPr>
        <w:jc w:val="both"/>
        <w:rPr>
          <w:rFonts w:cs="Times New Roman"/>
          <w:sz w:val="28"/>
          <w:szCs w:val="28"/>
        </w:rPr>
      </w:pPr>
      <w:r>
        <w:rPr>
          <w:rFonts w:cs="Times New Roman"/>
          <w:sz w:val="28"/>
          <w:szCs w:val="28"/>
        </w:rPr>
        <w:t xml:space="preserve">Статья подготовлена ведущим специалистом-экспертом </w:t>
      </w:r>
      <w:proofErr w:type="spellStart"/>
      <w:r>
        <w:rPr>
          <w:rFonts w:cs="Times New Roman"/>
          <w:sz w:val="28"/>
          <w:szCs w:val="28"/>
        </w:rPr>
        <w:t>Тальменского</w:t>
      </w:r>
      <w:proofErr w:type="spellEnd"/>
      <w:r>
        <w:rPr>
          <w:rFonts w:cs="Times New Roman"/>
          <w:sz w:val="28"/>
          <w:szCs w:val="28"/>
        </w:rPr>
        <w:t xml:space="preserve"> отдела Кузнецовой Еленой Владимировной.</w:t>
      </w:r>
    </w:p>
    <w:p w:rsidR="00085293" w:rsidRPr="00085293" w:rsidRDefault="00085293" w:rsidP="00085293">
      <w:pPr>
        <w:jc w:val="both"/>
        <w:rPr>
          <w:rFonts w:cs="Times New Roman"/>
          <w:sz w:val="28"/>
          <w:szCs w:val="28"/>
        </w:rPr>
      </w:pPr>
      <w:r w:rsidRPr="00085293">
        <w:rPr>
          <w:rFonts w:cs="Times New Roman"/>
          <w:sz w:val="28"/>
          <w:szCs w:val="28"/>
        </w:rPr>
        <w:t xml:space="preserve">          </w:t>
      </w:r>
    </w:p>
    <w:bookmarkEnd w:id="0"/>
    <w:p w:rsidR="005425A5" w:rsidRPr="00085293" w:rsidRDefault="00085293" w:rsidP="00085293">
      <w:pPr>
        <w:jc w:val="both"/>
        <w:rPr>
          <w:rFonts w:cs="Times New Roman"/>
          <w:sz w:val="28"/>
          <w:szCs w:val="28"/>
        </w:rPr>
      </w:pPr>
    </w:p>
    <w:sectPr w:rsidR="005425A5" w:rsidRPr="00085293" w:rsidSect="0008529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E4"/>
    <w:rsid w:val="00085293"/>
    <w:rsid w:val="001270D4"/>
    <w:rsid w:val="004F5459"/>
    <w:rsid w:val="00763DE4"/>
    <w:rsid w:val="00875405"/>
    <w:rsid w:val="00D4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59"/>
    <w:pPr>
      <w:spacing w:after="0" w:line="240" w:lineRule="auto"/>
    </w:pPr>
    <w:rPr>
      <w:rFonts w:ascii="Times New Roman" w:hAnsi="Times New Roman"/>
      <w:sz w:val="24"/>
      <w:szCs w:val="24"/>
      <w:lang w:eastAsia="ru-RU"/>
    </w:rPr>
  </w:style>
  <w:style w:type="paragraph" w:styleId="3">
    <w:name w:val="heading 3"/>
    <w:basedOn w:val="a"/>
    <w:link w:val="30"/>
    <w:uiPriority w:val="9"/>
    <w:qFormat/>
    <w:rsid w:val="004F5459"/>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545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085293"/>
    <w:rPr>
      <w:rFonts w:ascii="Tahoma" w:hAnsi="Tahoma" w:cs="Tahoma"/>
      <w:sz w:val="16"/>
      <w:szCs w:val="16"/>
    </w:rPr>
  </w:style>
  <w:style w:type="character" w:customStyle="1" w:styleId="a4">
    <w:name w:val="Текст выноски Знак"/>
    <w:basedOn w:val="a0"/>
    <w:link w:val="a3"/>
    <w:uiPriority w:val="99"/>
    <w:semiHidden/>
    <w:rsid w:val="0008529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59"/>
    <w:pPr>
      <w:spacing w:after="0" w:line="240" w:lineRule="auto"/>
    </w:pPr>
    <w:rPr>
      <w:rFonts w:ascii="Times New Roman" w:hAnsi="Times New Roman"/>
      <w:sz w:val="24"/>
      <w:szCs w:val="24"/>
      <w:lang w:eastAsia="ru-RU"/>
    </w:rPr>
  </w:style>
  <w:style w:type="paragraph" w:styleId="3">
    <w:name w:val="heading 3"/>
    <w:basedOn w:val="a"/>
    <w:link w:val="30"/>
    <w:uiPriority w:val="9"/>
    <w:qFormat/>
    <w:rsid w:val="004F5459"/>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545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085293"/>
    <w:rPr>
      <w:rFonts w:ascii="Tahoma" w:hAnsi="Tahoma" w:cs="Tahoma"/>
      <w:sz w:val="16"/>
      <w:szCs w:val="16"/>
    </w:rPr>
  </w:style>
  <w:style w:type="character" w:customStyle="1" w:styleId="a4">
    <w:name w:val="Текст выноски Знак"/>
    <w:basedOn w:val="a0"/>
    <w:link w:val="a3"/>
    <w:uiPriority w:val="99"/>
    <w:semiHidden/>
    <w:rsid w:val="0008529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Елена Владимировна</dc:creator>
  <cp:keywords/>
  <dc:description/>
  <cp:lastModifiedBy>Кузнецова Елена Владимировна</cp:lastModifiedBy>
  <cp:revision>2</cp:revision>
  <dcterms:created xsi:type="dcterms:W3CDTF">2024-01-25T02:07:00Z</dcterms:created>
  <dcterms:modified xsi:type="dcterms:W3CDTF">2024-01-25T02:13:00Z</dcterms:modified>
</cp:coreProperties>
</file>